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E9" w:rsidRPr="000C347E" w:rsidRDefault="004713E9" w:rsidP="001C004D">
      <w:pPr>
        <w:jc w:val="both"/>
        <w:rPr>
          <w:rFonts w:asciiTheme="minorHAnsi" w:hAnsiTheme="minorHAnsi"/>
        </w:rPr>
      </w:pPr>
    </w:p>
    <w:p w:rsidR="000C347E" w:rsidRPr="000C347E" w:rsidRDefault="000C347E" w:rsidP="001C004D">
      <w:pPr>
        <w:jc w:val="both"/>
        <w:rPr>
          <w:rFonts w:asciiTheme="minorHAnsi" w:hAnsiTheme="minorHAnsi"/>
          <w:lang w:val="en-US"/>
        </w:rPr>
      </w:pPr>
    </w:p>
    <w:p w:rsidR="000C347E" w:rsidRPr="000C347E" w:rsidRDefault="000C347E" w:rsidP="001C004D">
      <w:pPr>
        <w:jc w:val="both"/>
        <w:rPr>
          <w:rFonts w:asciiTheme="minorHAnsi" w:hAnsiTheme="minorHAnsi"/>
          <w:lang w:val="en-US"/>
        </w:rPr>
      </w:pPr>
      <w:r w:rsidRPr="000C347E">
        <w:rPr>
          <w:rFonts w:asciiTheme="minorHAnsi" w:hAnsiTheme="minorHAnsi"/>
          <w:lang w:val="en-US"/>
        </w:rPr>
        <w:t>Dear Serdar,</w:t>
      </w:r>
    </w:p>
    <w:p w:rsidR="00794008" w:rsidRDefault="00794008" w:rsidP="001C004D">
      <w:pPr>
        <w:jc w:val="both"/>
        <w:rPr>
          <w:rFonts w:asciiTheme="minorHAnsi" w:hAnsiTheme="minorHAnsi"/>
          <w:lang w:val="en-US"/>
        </w:rPr>
      </w:pPr>
    </w:p>
    <w:p w:rsidR="000C347E" w:rsidRPr="000C347E" w:rsidRDefault="000C347E" w:rsidP="001C004D">
      <w:pPr>
        <w:jc w:val="both"/>
        <w:rPr>
          <w:rFonts w:asciiTheme="minorHAnsi" w:hAnsiTheme="minorHAnsi"/>
          <w:lang w:val="en-US"/>
        </w:rPr>
      </w:pPr>
      <w:r w:rsidRPr="000C347E">
        <w:rPr>
          <w:rFonts w:asciiTheme="minorHAnsi" w:hAnsiTheme="minorHAnsi"/>
          <w:lang w:val="en-US"/>
        </w:rPr>
        <w:t>Please see our website’s Carnet FAQ’s section on foreign carnets in the U.S. The only way to keep goods in the U.S. beyond the carnet expiry is to have the carnet converted to a T.I.B. (Temporary Importation under Bond) via a licensed customs broker. The TIB entry should be filed and released before the carnet expiration and the bond number and validation by U.S. Customs on the carnet Re-exportation Voucher/Counterfoil to close out the carnet. The carnet number should also be on the entry form and the merchandise description, weight and value should match the carnet’s General List as closely as possible.</w:t>
      </w:r>
    </w:p>
    <w:p w:rsidR="000C347E" w:rsidRPr="000C347E" w:rsidRDefault="000C347E" w:rsidP="001C004D">
      <w:pPr>
        <w:jc w:val="both"/>
        <w:rPr>
          <w:rFonts w:asciiTheme="minorHAnsi" w:hAnsiTheme="minorHAnsi"/>
          <w:lang w:val="en-US"/>
        </w:rPr>
      </w:pPr>
    </w:p>
    <w:p w:rsidR="000C347E" w:rsidRPr="000C347E" w:rsidRDefault="00545F72" w:rsidP="001C004D">
      <w:pPr>
        <w:jc w:val="both"/>
        <w:rPr>
          <w:rFonts w:asciiTheme="minorHAnsi" w:hAnsiTheme="minorHAnsi"/>
          <w:lang w:val="en-US"/>
        </w:rPr>
      </w:pPr>
      <w:hyperlink r:id="rId5" w:history="1">
        <w:r w:rsidR="000C347E" w:rsidRPr="000C347E">
          <w:rPr>
            <w:rStyle w:val="Kpr"/>
            <w:rFonts w:asciiTheme="minorHAnsi" w:hAnsiTheme="minorHAnsi"/>
            <w:lang w:val="en-US"/>
          </w:rPr>
          <w:t>http://merchandisepassport.org/</w:t>
        </w:r>
      </w:hyperlink>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Arial" w:hAnsi="Arial" w:cs="Arial"/>
          <w:b/>
          <w:bCs/>
          <w:color w:val="1F497D"/>
          <w:lang w:val="en-US"/>
        </w:rPr>
      </w:pPr>
      <w:r>
        <w:rPr>
          <w:rFonts w:ascii="Arial" w:hAnsi="Arial" w:cs="Arial"/>
          <w:b/>
          <w:bCs/>
          <w:color w:val="1F497D"/>
          <w:lang w:val="en-US"/>
        </w:rPr>
        <w:t>Dale Ogasawara</w:t>
      </w:r>
    </w:p>
    <w:p w:rsidR="000C347E" w:rsidRDefault="000C347E" w:rsidP="001C004D">
      <w:pPr>
        <w:jc w:val="both"/>
        <w:rPr>
          <w:rFonts w:ascii="Arial" w:hAnsi="Arial" w:cs="Arial"/>
          <w:color w:val="1F497D"/>
          <w:sz w:val="20"/>
          <w:szCs w:val="20"/>
          <w:lang w:val="en-US"/>
        </w:rPr>
      </w:pPr>
      <w:r>
        <w:rPr>
          <w:rFonts w:ascii="Arial" w:hAnsi="Arial" w:cs="Arial"/>
          <w:color w:val="1F497D"/>
          <w:sz w:val="20"/>
          <w:szCs w:val="20"/>
          <w:lang w:val="en-US"/>
        </w:rPr>
        <w:t>Assistant Director, Carnet Claims Mitigation</w:t>
      </w:r>
    </w:p>
    <w:p w:rsidR="000C347E" w:rsidRDefault="000C347E" w:rsidP="001C004D">
      <w:pPr>
        <w:jc w:val="both"/>
        <w:rPr>
          <w:rFonts w:ascii="Arial" w:hAnsi="Arial" w:cs="Arial"/>
          <w:sz w:val="20"/>
          <w:szCs w:val="20"/>
          <w:lang w:val="en-US"/>
        </w:rPr>
      </w:pPr>
    </w:p>
    <w:p w:rsidR="000C347E" w:rsidRDefault="000C347E" w:rsidP="001C004D">
      <w:pPr>
        <w:jc w:val="both"/>
        <w:rPr>
          <w:color w:val="1F497D"/>
          <w:sz w:val="22"/>
          <w:szCs w:val="22"/>
          <w:lang w:val="en-US"/>
        </w:rPr>
      </w:pPr>
      <w:r>
        <w:rPr>
          <w:color w:val="1F497D"/>
          <w:sz w:val="22"/>
          <w:szCs w:val="22"/>
          <w:lang w:val="en-US"/>
        </w:rPr>
        <w:t>1212 Avenue of the Americas, 18th Fl., New York, NY 10036</w:t>
      </w:r>
    </w:p>
    <w:p w:rsidR="000C347E" w:rsidRDefault="000C347E" w:rsidP="001C004D">
      <w:pPr>
        <w:jc w:val="both"/>
        <w:rPr>
          <w:color w:val="1F497D"/>
          <w:sz w:val="22"/>
          <w:szCs w:val="22"/>
          <w:lang w:val="en-US"/>
        </w:rPr>
      </w:pPr>
      <w:r>
        <w:rPr>
          <w:color w:val="1F497D"/>
          <w:sz w:val="22"/>
          <w:szCs w:val="22"/>
          <w:lang w:val="en-US"/>
        </w:rPr>
        <w:t>T: 212-703-5071</w:t>
      </w:r>
      <w:proofErr w:type="gramStart"/>
      <w:r>
        <w:rPr>
          <w:color w:val="1F497D"/>
          <w:sz w:val="22"/>
          <w:szCs w:val="22"/>
          <w:lang w:val="en-US"/>
        </w:rPr>
        <w:t>  F</w:t>
      </w:r>
      <w:proofErr w:type="gramEnd"/>
      <w:r>
        <w:rPr>
          <w:color w:val="1F497D"/>
          <w:sz w:val="22"/>
          <w:szCs w:val="22"/>
          <w:lang w:val="en-US"/>
        </w:rPr>
        <w:t>: 212-944-0012</w:t>
      </w:r>
    </w:p>
    <w:p w:rsidR="000C347E" w:rsidRDefault="00545F72" w:rsidP="001C004D">
      <w:pPr>
        <w:jc w:val="both"/>
        <w:rPr>
          <w:color w:val="1F497D"/>
          <w:sz w:val="22"/>
          <w:szCs w:val="22"/>
          <w:lang w:val="es-MX"/>
        </w:rPr>
      </w:pPr>
      <w:hyperlink r:id="rId6" w:history="1">
        <w:r w:rsidR="000C347E">
          <w:rPr>
            <w:rStyle w:val="Kpr"/>
            <w:color w:val="1F497D"/>
            <w:sz w:val="22"/>
            <w:szCs w:val="22"/>
            <w:lang w:val="es-MX"/>
          </w:rPr>
          <w:t>www.merchandisepassport.org</w:t>
        </w:r>
      </w:hyperlink>
    </w:p>
    <w:p w:rsidR="000C347E" w:rsidRDefault="000C347E" w:rsidP="001C004D">
      <w:pPr>
        <w:jc w:val="both"/>
        <w:rPr>
          <w:color w:val="1F497D"/>
          <w:sz w:val="22"/>
          <w:szCs w:val="22"/>
          <w:lang w:val="es-MX"/>
        </w:rPr>
      </w:pPr>
    </w:p>
    <w:p w:rsidR="000C347E" w:rsidRDefault="000C347E" w:rsidP="001C004D">
      <w:pPr>
        <w:jc w:val="both"/>
        <w:rPr>
          <w:color w:val="1F497D"/>
          <w:sz w:val="22"/>
          <w:szCs w:val="22"/>
          <w:lang w:val="es-MX"/>
        </w:rPr>
      </w:pPr>
      <w:r>
        <w:rPr>
          <w:noProof/>
          <w:color w:val="1F497D"/>
          <w:sz w:val="22"/>
          <w:szCs w:val="22"/>
        </w:rPr>
        <w:drawing>
          <wp:inline distT="0" distB="0" distL="0" distR="0" wp14:anchorId="3BB4A3BF" wp14:editId="1BFAAB22">
            <wp:extent cx="571500" cy="571500"/>
            <wp:effectExtent l="0" t="0" r="0" b="0"/>
            <wp:docPr id="2" name="Resim 2" descr="uscib_logo_green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cib_logo_green_thum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C347E" w:rsidRDefault="000C347E" w:rsidP="001C004D">
      <w:pPr>
        <w:jc w:val="both"/>
        <w:rPr>
          <w:rFonts w:ascii="Arial" w:hAnsi="Arial" w:cs="Arial"/>
          <w:b/>
          <w:bCs/>
          <w:i/>
          <w:iCs/>
          <w:color w:val="1F497D"/>
          <w:sz w:val="16"/>
          <w:szCs w:val="16"/>
          <w:lang w:val="en-US"/>
        </w:rPr>
      </w:pPr>
      <w:r>
        <w:rPr>
          <w:rFonts w:ascii="Arial" w:hAnsi="Arial" w:cs="Arial"/>
          <w:b/>
          <w:bCs/>
          <w:i/>
          <w:iCs/>
          <w:color w:val="1F497D"/>
          <w:sz w:val="16"/>
          <w:szCs w:val="16"/>
          <w:lang w:val="en-US"/>
        </w:rPr>
        <w:t>Global Business Leadership as an Affiliate of:</w:t>
      </w:r>
    </w:p>
    <w:p w:rsidR="000C347E" w:rsidRDefault="000C347E" w:rsidP="001C004D">
      <w:pPr>
        <w:jc w:val="both"/>
        <w:rPr>
          <w:rFonts w:ascii="Arial" w:hAnsi="Arial" w:cs="Arial"/>
          <w:b/>
          <w:bCs/>
          <w:i/>
          <w:iCs/>
          <w:color w:val="1F497D"/>
          <w:sz w:val="16"/>
          <w:szCs w:val="16"/>
          <w:lang w:val="en-US"/>
        </w:rPr>
      </w:pPr>
      <w:r>
        <w:rPr>
          <w:rFonts w:ascii="Arial" w:hAnsi="Arial" w:cs="Arial"/>
          <w:b/>
          <w:bCs/>
          <w:i/>
          <w:iCs/>
          <w:color w:val="1F497D"/>
          <w:sz w:val="16"/>
          <w:szCs w:val="16"/>
          <w:lang w:val="en-US"/>
        </w:rPr>
        <w:t>International Chamber of Commerce</w:t>
      </w:r>
    </w:p>
    <w:p w:rsidR="000C347E" w:rsidRDefault="000C347E" w:rsidP="001C004D">
      <w:pPr>
        <w:jc w:val="both"/>
        <w:rPr>
          <w:rFonts w:ascii="Arial" w:hAnsi="Arial" w:cs="Arial"/>
          <w:b/>
          <w:bCs/>
          <w:i/>
          <w:iCs/>
          <w:color w:val="1F497D"/>
          <w:sz w:val="16"/>
          <w:szCs w:val="16"/>
          <w:lang w:val="en-US"/>
        </w:rPr>
      </w:pPr>
      <w:r>
        <w:rPr>
          <w:rFonts w:ascii="Arial" w:hAnsi="Arial" w:cs="Arial"/>
          <w:b/>
          <w:bCs/>
          <w:i/>
          <w:iCs/>
          <w:color w:val="1F497D"/>
          <w:sz w:val="16"/>
          <w:szCs w:val="16"/>
          <w:lang w:val="en-US"/>
        </w:rPr>
        <w:t>International Organization of Employers</w:t>
      </w:r>
    </w:p>
    <w:p w:rsidR="000C347E" w:rsidRDefault="000C347E" w:rsidP="001C004D">
      <w:pPr>
        <w:jc w:val="both"/>
        <w:rPr>
          <w:rFonts w:ascii="Arial" w:hAnsi="Arial" w:cs="Arial"/>
          <w:b/>
          <w:bCs/>
          <w:i/>
          <w:iCs/>
          <w:color w:val="1F497D"/>
          <w:sz w:val="16"/>
          <w:szCs w:val="16"/>
          <w:lang w:val="en-US"/>
        </w:rPr>
      </w:pPr>
      <w:r>
        <w:rPr>
          <w:rFonts w:ascii="Arial" w:hAnsi="Arial" w:cs="Arial"/>
          <w:b/>
          <w:bCs/>
          <w:i/>
          <w:iCs/>
          <w:color w:val="1F497D"/>
          <w:sz w:val="16"/>
          <w:szCs w:val="16"/>
          <w:lang w:val="en-US"/>
        </w:rPr>
        <w:t>Business &amp; Industry Advisory Committee to the OECD</w:t>
      </w:r>
    </w:p>
    <w:p w:rsidR="000C347E" w:rsidRDefault="000C347E" w:rsidP="001C004D">
      <w:pPr>
        <w:jc w:val="both"/>
        <w:rPr>
          <w:color w:val="1F497D"/>
          <w:sz w:val="22"/>
          <w:szCs w:val="22"/>
          <w:lang w:val="es-MX"/>
        </w:rPr>
      </w:pPr>
      <w:r>
        <w:rPr>
          <w:rFonts w:ascii="Arial" w:hAnsi="Arial" w:cs="Arial"/>
          <w:b/>
          <w:bCs/>
          <w:i/>
          <w:iCs/>
          <w:color w:val="1F497D"/>
          <w:sz w:val="16"/>
          <w:szCs w:val="16"/>
          <w:lang w:val="en-US"/>
        </w:rPr>
        <w:t>ATA Carnet System</w:t>
      </w: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r>
        <w:rPr>
          <w:rFonts w:ascii="Calibri" w:hAnsi="Calibri"/>
          <w:noProof/>
          <w:sz w:val="22"/>
          <w:szCs w:val="22"/>
        </w:rPr>
        <w:drawing>
          <wp:inline distT="0" distB="0" distL="0" distR="0" wp14:anchorId="7A83FB88" wp14:editId="34559BD9">
            <wp:extent cx="5495925" cy="828675"/>
            <wp:effectExtent l="0" t="0" r="9525" b="9525"/>
            <wp:docPr id="1" name="Resim 1" descr="USCIB_AwardDinner_2016_esignature_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CIB_AwardDinner_2016_esignature_d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95925" cy="828675"/>
                    </a:xfrm>
                    <a:prstGeom prst="rect">
                      <a:avLst/>
                    </a:prstGeom>
                    <a:noFill/>
                    <a:ln>
                      <a:noFill/>
                    </a:ln>
                  </pic:spPr>
                </pic:pic>
              </a:graphicData>
            </a:graphic>
          </wp:inline>
        </w:drawing>
      </w:r>
    </w:p>
    <w:p w:rsidR="000C347E" w:rsidRDefault="000C347E" w:rsidP="001C004D">
      <w:pPr>
        <w:jc w:val="both"/>
        <w:rPr>
          <w:rFonts w:ascii="Calibri" w:hAnsi="Calibri"/>
          <w:sz w:val="22"/>
          <w:szCs w:val="22"/>
          <w:lang w:val="en-US"/>
        </w:rPr>
      </w:pPr>
    </w:p>
    <w:p w:rsidR="006B5DEC" w:rsidRDefault="006B5DEC" w:rsidP="001C004D">
      <w:pPr>
        <w:jc w:val="both"/>
        <w:rPr>
          <w:rFonts w:asciiTheme="minorHAnsi" w:hAnsiTheme="minorHAnsi"/>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794008" w:rsidRDefault="00794008" w:rsidP="001C004D">
      <w:pPr>
        <w:jc w:val="both"/>
        <w:rPr>
          <w:rFonts w:ascii="Calibri" w:hAnsi="Calibri"/>
          <w:sz w:val="22"/>
          <w:szCs w:val="22"/>
          <w:lang w:val="en-US"/>
        </w:rPr>
      </w:pPr>
    </w:p>
    <w:p w:rsidR="00794008" w:rsidRDefault="00794008" w:rsidP="001C004D">
      <w:pPr>
        <w:jc w:val="both"/>
        <w:rPr>
          <w:rFonts w:ascii="Calibri" w:hAnsi="Calibri"/>
          <w:sz w:val="22"/>
          <w:szCs w:val="22"/>
          <w:lang w:val="en-US"/>
        </w:rPr>
      </w:pPr>
    </w:p>
    <w:p w:rsidR="00794008" w:rsidRDefault="00794008" w:rsidP="001C004D">
      <w:pPr>
        <w:jc w:val="both"/>
        <w:rPr>
          <w:rFonts w:ascii="Calibri" w:hAnsi="Calibri"/>
          <w:sz w:val="22"/>
          <w:szCs w:val="22"/>
          <w:lang w:val="en-US"/>
        </w:rPr>
      </w:pPr>
    </w:p>
    <w:p w:rsidR="00794008" w:rsidRDefault="00794008" w:rsidP="001C004D">
      <w:pPr>
        <w:jc w:val="both"/>
        <w:rPr>
          <w:rFonts w:ascii="Calibri" w:hAnsi="Calibri"/>
          <w:sz w:val="22"/>
          <w:szCs w:val="22"/>
          <w:lang w:val="en-US"/>
        </w:rPr>
      </w:pPr>
    </w:p>
    <w:p w:rsidR="000C347E" w:rsidRPr="000C347E" w:rsidRDefault="000C347E" w:rsidP="001C004D">
      <w:pPr>
        <w:jc w:val="both"/>
        <w:rPr>
          <w:rFonts w:asciiTheme="minorHAnsi" w:hAnsiTheme="minorHAnsi"/>
          <w:lang w:val="en-US"/>
        </w:rPr>
      </w:pPr>
      <w:r w:rsidRPr="000C347E">
        <w:rPr>
          <w:rFonts w:asciiTheme="minorHAnsi" w:hAnsiTheme="minorHAnsi"/>
          <w:lang w:val="en-US"/>
        </w:rPr>
        <w:t>Dear Serdar,</w:t>
      </w:r>
    </w:p>
    <w:p w:rsidR="00794008" w:rsidRDefault="00794008" w:rsidP="001C004D">
      <w:pPr>
        <w:jc w:val="both"/>
        <w:rPr>
          <w:rFonts w:asciiTheme="minorHAnsi" w:hAnsiTheme="minorHAnsi"/>
          <w:lang w:val="en-US"/>
        </w:rPr>
      </w:pPr>
    </w:p>
    <w:p w:rsidR="000C347E" w:rsidRPr="000C347E" w:rsidRDefault="000C347E" w:rsidP="001C004D">
      <w:pPr>
        <w:jc w:val="both"/>
        <w:rPr>
          <w:rFonts w:asciiTheme="minorHAnsi" w:hAnsiTheme="minorHAnsi"/>
          <w:lang w:val="en-US"/>
        </w:rPr>
      </w:pPr>
      <w:r w:rsidRPr="000C347E">
        <w:rPr>
          <w:rFonts w:asciiTheme="minorHAnsi" w:hAnsiTheme="minorHAnsi"/>
          <w:lang w:val="en-US"/>
        </w:rPr>
        <w:t>You can tell the carnet holder that if they get a new carnet to replace the one expiring, it will not be accepted by U.S. Customs as a replacement and will be either rejected or validated but treated as a separate carnet altogether. This would mean, for example, that if the holder re-exports the goods with the “replacement” carnet and it is validated, if it is after the expiry of the original the proof would be considered as late proof and charges would apply in the case of a claim from U.S. Customs.</w:t>
      </w:r>
    </w:p>
    <w:p w:rsidR="000C347E" w:rsidRPr="000C347E" w:rsidRDefault="000C347E" w:rsidP="001C004D">
      <w:pPr>
        <w:jc w:val="both"/>
        <w:rPr>
          <w:rFonts w:asciiTheme="minorHAnsi" w:hAnsiTheme="minorHAnsi"/>
          <w:lang w:val="en-US"/>
        </w:rPr>
      </w:pPr>
    </w:p>
    <w:p w:rsidR="000C347E" w:rsidRPr="000C347E" w:rsidRDefault="000C347E" w:rsidP="001C004D">
      <w:pPr>
        <w:jc w:val="both"/>
        <w:rPr>
          <w:rFonts w:asciiTheme="minorHAnsi" w:hAnsiTheme="minorHAnsi"/>
          <w:lang w:val="en-US"/>
        </w:rPr>
      </w:pPr>
      <w:r w:rsidRPr="000C347E">
        <w:rPr>
          <w:rFonts w:asciiTheme="minorHAnsi" w:hAnsiTheme="minorHAnsi"/>
          <w:lang w:val="en-US"/>
        </w:rPr>
        <w:t xml:space="preserve">There is also a carnet FAQ on that on website:  </w:t>
      </w:r>
    </w:p>
    <w:p w:rsidR="000C347E" w:rsidRPr="000C347E" w:rsidRDefault="000C347E" w:rsidP="001C004D">
      <w:pPr>
        <w:jc w:val="both"/>
        <w:rPr>
          <w:rFonts w:asciiTheme="minorHAnsi" w:hAnsiTheme="minorHAnsi"/>
          <w:lang w:val="en-US"/>
        </w:rPr>
      </w:pPr>
      <w:r w:rsidRPr="000C347E">
        <w:rPr>
          <w:rFonts w:asciiTheme="minorHAnsi" w:hAnsiTheme="minorHAnsi" w:cs="Helvetica"/>
          <w:color w:val="252526"/>
          <w:shd w:val="clear" w:color="auto" w:fill="FFFFFF"/>
          <w:lang w:val="en-US"/>
        </w:rPr>
        <w:t>Mitigation of duties may be afforded if the merchandise is re-exported after Carnet expiration:</w:t>
      </w:r>
    </w:p>
    <w:p w:rsidR="000C347E" w:rsidRPr="000C347E" w:rsidRDefault="000C347E" w:rsidP="001C004D">
      <w:pPr>
        <w:shd w:val="clear" w:color="auto" w:fill="FFFFFF"/>
        <w:spacing w:line="384" w:lineRule="atLeast"/>
        <w:ind w:left="300" w:hanging="360"/>
        <w:jc w:val="both"/>
        <w:rPr>
          <w:rFonts w:asciiTheme="minorHAnsi" w:hAnsiTheme="minorHAnsi" w:cs="Helvetica"/>
          <w:color w:val="252526"/>
          <w:lang w:val="en-US"/>
        </w:rPr>
      </w:pPr>
      <w:r w:rsidRPr="000C347E">
        <w:rPr>
          <w:rFonts w:asciiTheme="minorHAnsi" w:hAnsiTheme="minorHAnsi" w:cs="Helvetica"/>
          <w:color w:val="252526"/>
          <w:lang w:val="en-US"/>
        </w:rPr>
        <w:t>1.</w:t>
      </w:r>
      <w:r w:rsidRPr="000C347E">
        <w:rPr>
          <w:rFonts w:asciiTheme="minorHAnsi" w:hAnsiTheme="minorHAnsi"/>
          <w:color w:val="252526"/>
          <w:lang w:val="en-US"/>
        </w:rPr>
        <w:t xml:space="preserve">    </w:t>
      </w:r>
      <w:r w:rsidRPr="000C347E">
        <w:rPr>
          <w:rFonts w:asciiTheme="minorHAnsi" w:hAnsiTheme="minorHAnsi" w:cs="Helvetica"/>
          <w:color w:val="252526"/>
          <w:lang w:val="en-US"/>
        </w:rPr>
        <w:t>Re-exportation validated in the Carnet up to 90 days after Carnet expiration will result in the collection of 25% of the duty and 10% penalty within the case of a claim made on the Carnet, with a minimum of $50; or</w:t>
      </w:r>
    </w:p>
    <w:p w:rsidR="000C347E" w:rsidRPr="000C347E" w:rsidRDefault="000C347E" w:rsidP="001C004D">
      <w:pPr>
        <w:shd w:val="clear" w:color="auto" w:fill="FFFFFF"/>
        <w:spacing w:line="384" w:lineRule="atLeast"/>
        <w:ind w:left="300" w:hanging="360"/>
        <w:jc w:val="both"/>
        <w:rPr>
          <w:rFonts w:asciiTheme="minorHAnsi" w:hAnsiTheme="minorHAnsi" w:cs="Helvetica"/>
          <w:color w:val="252526"/>
          <w:lang w:val="en-US"/>
        </w:rPr>
      </w:pPr>
      <w:r w:rsidRPr="000C347E">
        <w:rPr>
          <w:rFonts w:asciiTheme="minorHAnsi" w:hAnsiTheme="minorHAnsi" w:cs="Helvetica"/>
          <w:color w:val="252526"/>
          <w:lang w:val="en-US"/>
        </w:rPr>
        <w:t>2.</w:t>
      </w:r>
      <w:r w:rsidRPr="000C347E">
        <w:rPr>
          <w:rFonts w:asciiTheme="minorHAnsi" w:hAnsiTheme="minorHAnsi"/>
          <w:color w:val="252526"/>
          <w:lang w:val="en-US"/>
        </w:rPr>
        <w:t xml:space="preserve">    </w:t>
      </w:r>
      <w:r w:rsidRPr="000C347E">
        <w:rPr>
          <w:rFonts w:asciiTheme="minorHAnsi" w:hAnsiTheme="minorHAnsi" w:cs="Helvetica"/>
          <w:color w:val="252526"/>
          <w:lang w:val="en-US"/>
        </w:rPr>
        <w:t>Re-exportation validated in the Carnet between 90 and 180 days after Carnet expiration will result in the collection of 50% of the duty and 10% penalty, with a minimum of $100.</w:t>
      </w:r>
    </w:p>
    <w:p w:rsidR="000C347E" w:rsidRPr="000C347E" w:rsidRDefault="000C347E" w:rsidP="001C004D">
      <w:pPr>
        <w:shd w:val="clear" w:color="auto" w:fill="FFFFFF"/>
        <w:spacing w:after="300" w:line="384" w:lineRule="atLeast"/>
        <w:jc w:val="both"/>
        <w:rPr>
          <w:rFonts w:asciiTheme="minorHAnsi" w:hAnsiTheme="minorHAnsi" w:cs="Helvetica"/>
          <w:color w:val="252526"/>
          <w:lang w:val="en-US"/>
        </w:rPr>
      </w:pPr>
      <w:r w:rsidRPr="000C347E">
        <w:rPr>
          <w:rFonts w:asciiTheme="minorHAnsi" w:hAnsiTheme="minorHAnsi" w:cs="Helvetica"/>
          <w:color w:val="252526"/>
          <w:lang w:val="en-US"/>
        </w:rPr>
        <w:t>Goods re-exported 181 days after Carnet expiration are subject to the collection of the full amount of duty and 10% penalty.</w:t>
      </w:r>
    </w:p>
    <w:p w:rsidR="000C347E" w:rsidRDefault="000C347E" w:rsidP="001C004D">
      <w:pPr>
        <w:jc w:val="both"/>
        <w:rPr>
          <w:rFonts w:ascii="Calibri" w:hAnsi="Calibri"/>
          <w:sz w:val="22"/>
          <w:szCs w:val="22"/>
          <w:lang w:val="en-US"/>
        </w:rPr>
      </w:pPr>
    </w:p>
    <w:p w:rsidR="000C347E" w:rsidRDefault="000C347E" w:rsidP="001C004D">
      <w:pPr>
        <w:jc w:val="both"/>
        <w:rPr>
          <w:rFonts w:ascii="Calibri" w:hAnsi="Calibri"/>
          <w:sz w:val="22"/>
          <w:szCs w:val="22"/>
          <w:lang w:val="en-US"/>
        </w:rPr>
      </w:pPr>
    </w:p>
    <w:p w:rsidR="000C347E" w:rsidRDefault="000C347E" w:rsidP="001C004D">
      <w:pPr>
        <w:jc w:val="both"/>
        <w:rPr>
          <w:rFonts w:ascii="Arial" w:hAnsi="Arial" w:cs="Arial"/>
          <w:b/>
          <w:bCs/>
          <w:color w:val="1F497D"/>
          <w:lang w:val="en-US"/>
        </w:rPr>
      </w:pPr>
      <w:r>
        <w:rPr>
          <w:rFonts w:ascii="Arial" w:hAnsi="Arial" w:cs="Arial"/>
          <w:b/>
          <w:bCs/>
          <w:color w:val="1F497D"/>
          <w:lang w:val="en-US"/>
        </w:rPr>
        <w:t>Dale Ogasawara</w:t>
      </w:r>
    </w:p>
    <w:p w:rsidR="000C347E" w:rsidRDefault="000C347E" w:rsidP="001C004D">
      <w:pPr>
        <w:jc w:val="both"/>
        <w:rPr>
          <w:rFonts w:ascii="Arial" w:hAnsi="Arial" w:cs="Arial"/>
          <w:color w:val="1F497D"/>
          <w:sz w:val="20"/>
          <w:szCs w:val="20"/>
          <w:lang w:val="en-US"/>
        </w:rPr>
      </w:pPr>
      <w:r>
        <w:rPr>
          <w:rFonts w:ascii="Arial" w:hAnsi="Arial" w:cs="Arial"/>
          <w:color w:val="1F497D"/>
          <w:sz w:val="20"/>
          <w:szCs w:val="20"/>
          <w:lang w:val="en-US"/>
        </w:rPr>
        <w:t>Assistant Director, Carnet Claims Mitigation</w:t>
      </w:r>
    </w:p>
    <w:p w:rsidR="000C347E" w:rsidRDefault="000C347E" w:rsidP="001C004D">
      <w:pPr>
        <w:jc w:val="both"/>
        <w:rPr>
          <w:rFonts w:ascii="Arial" w:hAnsi="Arial" w:cs="Arial"/>
          <w:sz w:val="20"/>
          <w:szCs w:val="20"/>
          <w:lang w:val="en-US"/>
        </w:rPr>
      </w:pPr>
    </w:p>
    <w:p w:rsidR="000C347E" w:rsidRDefault="000C347E" w:rsidP="001C004D">
      <w:pPr>
        <w:jc w:val="both"/>
        <w:rPr>
          <w:color w:val="1F497D"/>
          <w:sz w:val="22"/>
          <w:szCs w:val="22"/>
          <w:lang w:val="en-US"/>
        </w:rPr>
      </w:pPr>
      <w:r>
        <w:rPr>
          <w:color w:val="1F497D"/>
          <w:sz w:val="22"/>
          <w:szCs w:val="22"/>
          <w:lang w:val="en-US"/>
        </w:rPr>
        <w:t>1212 Avenue of the Americas, 18th Fl., New York, NY 10036</w:t>
      </w:r>
    </w:p>
    <w:p w:rsidR="000C347E" w:rsidRDefault="000C347E" w:rsidP="001C004D">
      <w:pPr>
        <w:jc w:val="both"/>
        <w:rPr>
          <w:color w:val="1F497D"/>
          <w:sz w:val="22"/>
          <w:szCs w:val="22"/>
          <w:lang w:val="en-US"/>
        </w:rPr>
      </w:pPr>
      <w:r>
        <w:rPr>
          <w:color w:val="1F497D"/>
          <w:sz w:val="22"/>
          <w:szCs w:val="22"/>
          <w:lang w:val="en-US"/>
        </w:rPr>
        <w:t>T: 212-703-5071</w:t>
      </w:r>
      <w:proofErr w:type="gramStart"/>
      <w:r>
        <w:rPr>
          <w:color w:val="1F497D"/>
          <w:sz w:val="22"/>
          <w:szCs w:val="22"/>
          <w:lang w:val="en-US"/>
        </w:rPr>
        <w:t>  F</w:t>
      </w:r>
      <w:proofErr w:type="gramEnd"/>
      <w:r>
        <w:rPr>
          <w:color w:val="1F497D"/>
          <w:sz w:val="22"/>
          <w:szCs w:val="22"/>
          <w:lang w:val="en-US"/>
        </w:rPr>
        <w:t>: 212-944-0012</w:t>
      </w:r>
    </w:p>
    <w:p w:rsidR="000C347E" w:rsidRDefault="00545F72" w:rsidP="001C004D">
      <w:pPr>
        <w:jc w:val="both"/>
        <w:rPr>
          <w:color w:val="1F497D"/>
          <w:sz w:val="22"/>
          <w:szCs w:val="22"/>
          <w:lang w:val="es-MX"/>
        </w:rPr>
      </w:pPr>
      <w:hyperlink r:id="rId11" w:history="1">
        <w:r w:rsidR="000C347E">
          <w:rPr>
            <w:rStyle w:val="Kpr"/>
            <w:color w:val="1F497D"/>
            <w:sz w:val="22"/>
            <w:szCs w:val="22"/>
            <w:lang w:val="es-MX"/>
          </w:rPr>
          <w:t>www.merchandisepassport.org</w:t>
        </w:r>
      </w:hyperlink>
    </w:p>
    <w:p w:rsidR="000C347E" w:rsidRDefault="000C347E" w:rsidP="001C004D">
      <w:pPr>
        <w:jc w:val="both"/>
        <w:rPr>
          <w:color w:val="1F497D"/>
          <w:sz w:val="22"/>
          <w:szCs w:val="22"/>
          <w:lang w:val="es-MX"/>
        </w:rPr>
      </w:pPr>
    </w:p>
    <w:p w:rsidR="000C347E" w:rsidRDefault="000C347E" w:rsidP="001C004D">
      <w:pPr>
        <w:jc w:val="both"/>
        <w:rPr>
          <w:color w:val="1F497D"/>
          <w:sz w:val="22"/>
          <w:szCs w:val="22"/>
          <w:lang w:val="es-MX"/>
        </w:rPr>
      </w:pPr>
      <w:r>
        <w:rPr>
          <w:noProof/>
          <w:color w:val="1F497D"/>
          <w:sz w:val="22"/>
          <w:szCs w:val="22"/>
        </w:rPr>
        <w:drawing>
          <wp:inline distT="0" distB="0" distL="0" distR="0" wp14:anchorId="5348AF05" wp14:editId="266F2ED5">
            <wp:extent cx="571500" cy="571500"/>
            <wp:effectExtent l="0" t="0" r="0" b="0"/>
            <wp:docPr id="4" name="Resim 4" descr="uscib_logo_green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cib_logo_green_thumb"/>
                    <pic:cNvPicPr>
                      <a:picLocks noChangeAspect="1" noChangeArrowheads="1"/>
                    </pic:cNvPicPr>
                  </pic:nvPicPr>
                  <pic:blipFill>
                    <a:blip r:embed="rId7" r:link="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C347E" w:rsidRDefault="000C347E" w:rsidP="001C004D">
      <w:pPr>
        <w:jc w:val="both"/>
        <w:rPr>
          <w:rFonts w:ascii="Arial" w:hAnsi="Arial" w:cs="Arial"/>
          <w:b/>
          <w:bCs/>
          <w:i/>
          <w:iCs/>
          <w:color w:val="1F497D"/>
          <w:sz w:val="16"/>
          <w:szCs w:val="16"/>
          <w:lang w:val="en-US"/>
        </w:rPr>
      </w:pPr>
      <w:r>
        <w:rPr>
          <w:rFonts w:ascii="Arial" w:hAnsi="Arial" w:cs="Arial"/>
          <w:b/>
          <w:bCs/>
          <w:i/>
          <w:iCs/>
          <w:color w:val="1F497D"/>
          <w:sz w:val="16"/>
          <w:szCs w:val="16"/>
          <w:lang w:val="en-US"/>
        </w:rPr>
        <w:t>Global Business Leadership as an Affiliate of:</w:t>
      </w:r>
    </w:p>
    <w:p w:rsidR="000C347E" w:rsidRDefault="000C347E" w:rsidP="001C004D">
      <w:pPr>
        <w:jc w:val="both"/>
        <w:rPr>
          <w:rFonts w:ascii="Arial" w:hAnsi="Arial" w:cs="Arial"/>
          <w:b/>
          <w:bCs/>
          <w:i/>
          <w:iCs/>
          <w:color w:val="1F497D"/>
          <w:sz w:val="16"/>
          <w:szCs w:val="16"/>
          <w:lang w:val="en-US"/>
        </w:rPr>
      </w:pPr>
      <w:r>
        <w:rPr>
          <w:rFonts w:ascii="Arial" w:hAnsi="Arial" w:cs="Arial"/>
          <w:b/>
          <w:bCs/>
          <w:i/>
          <w:iCs/>
          <w:color w:val="1F497D"/>
          <w:sz w:val="16"/>
          <w:szCs w:val="16"/>
          <w:lang w:val="en-US"/>
        </w:rPr>
        <w:t>International Chamber of Commerce</w:t>
      </w:r>
    </w:p>
    <w:p w:rsidR="000C347E" w:rsidRDefault="000C347E" w:rsidP="001C004D">
      <w:pPr>
        <w:jc w:val="both"/>
        <w:rPr>
          <w:rFonts w:ascii="Arial" w:hAnsi="Arial" w:cs="Arial"/>
          <w:b/>
          <w:bCs/>
          <w:i/>
          <w:iCs/>
          <w:color w:val="1F497D"/>
          <w:sz w:val="16"/>
          <w:szCs w:val="16"/>
          <w:lang w:val="en-US"/>
        </w:rPr>
      </w:pPr>
      <w:r>
        <w:rPr>
          <w:rFonts w:ascii="Arial" w:hAnsi="Arial" w:cs="Arial"/>
          <w:b/>
          <w:bCs/>
          <w:i/>
          <w:iCs/>
          <w:color w:val="1F497D"/>
          <w:sz w:val="16"/>
          <w:szCs w:val="16"/>
          <w:lang w:val="en-US"/>
        </w:rPr>
        <w:t>International Organization of Employers</w:t>
      </w:r>
    </w:p>
    <w:p w:rsidR="000C347E" w:rsidRDefault="000C347E" w:rsidP="001C004D">
      <w:pPr>
        <w:jc w:val="both"/>
        <w:rPr>
          <w:rFonts w:ascii="Arial" w:hAnsi="Arial" w:cs="Arial"/>
          <w:b/>
          <w:bCs/>
          <w:i/>
          <w:iCs/>
          <w:color w:val="1F497D"/>
          <w:sz w:val="16"/>
          <w:szCs w:val="16"/>
          <w:lang w:val="en-US"/>
        </w:rPr>
      </w:pPr>
      <w:r>
        <w:rPr>
          <w:rFonts w:ascii="Arial" w:hAnsi="Arial" w:cs="Arial"/>
          <w:b/>
          <w:bCs/>
          <w:i/>
          <w:iCs/>
          <w:color w:val="1F497D"/>
          <w:sz w:val="16"/>
          <w:szCs w:val="16"/>
          <w:lang w:val="en-US"/>
        </w:rPr>
        <w:t>Business &amp; Industry Advisory Committee to the OECD</w:t>
      </w:r>
    </w:p>
    <w:p w:rsidR="000C347E" w:rsidRDefault="000C347E" w:rsidP="001C004D">
      <w:pPr>
        <w:jc w:val="both"/>
        <w:rPr>
          <w:color w:val="1F497D"/>
          <w:sz w:val="22"/>
          <w:szCs w:val="22"/>
          <w:lang w:val="es-MX"/>
        </w:rPr>
      </w:pPr>
      <w:r>
        <w:rPr>
          <w:rFonts w:ascii="Arial" w:hAnsi="Arial" w:cs="Arial"/>
          <w:b/>
          <w:bCs/>
          <w:i/>
          <w:iCs/>
          <w:color w:val="1F497D"/>
          <w:sz w:val="16"/>
          <w:szCs w:val="16"/>
          <w:lang w:val="en-US"/>
        </w:rPr>
        <w:t>ATA Carnet System</w:t>
      </w:r>
    </w:p>
    <w:p w:rsidR="000C347E" w:rsidRDefault="000C347E" w:rsidP="001C004D">
      <w:pPr>
        <w:jc w:val="both"/>
        <w:rPr>
          <w:rFonts w:ascii="Calibri" w:hAnsi="Calibri"/>
          <w:sz w:val="22"/>
          <w:szCs w:val="22"/>
          <w:lang w:val="en-US"/>
        </w:rPr>
      </w:pPr>
    </w:p>
    <w:p w:rsidR="000C347E" w:rsidRPr="00545F72" w:rsidRDefault="000C347E" w:rsidP="001C004D">
      <w:pPr>
        <w:jc w:val="both"/>
        <w:rPr>
          <w:rFonts w:ascii="Calibri" w:hAnsi="Calibri"/>
          <w:lang w:val="en-US"/>
        </w:rPr>
      </w:pPr>
      <w:r>
        <w:rPr>
          <w:rFonts w:ascii="Calibri" w:hAnsi="Calibri"/>
          <w:noProof/>
          <w:sz w:val="22"/>
          <w:szCs w:val="22"/>
        </w:rPr>
        <w:drawing>
          <wp:inline distT="0" distB="0" distL="0" distR="0" wp14:anchorId="126456F5" wp14:editId="2E68A39C">
            <wp:extent cx="5495925" cy="828675"/>
            <wp:effectExtent l="0" t="0" r="9525" b="9525"/>
            <wp:docPr id="3" name="Resim 3" descr="USCIB_AwardDinner_2016_esignature_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CIB_AwardDinner_2016_esignature_d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95925" cy="828675"/>
                    </a:xfrm>
                    <a:prstGeom prst="rect">
                      <a:avLst/>
                    </a:prstGeom>
                    <a:noFill/>
                    <a:ln>
                      <a:noFill/>
                    </a:ln>
                  </pic:spPr>
                </pic:pic>
              </a:graphicData>
            </a:graphic>
          </wp:inline>
        </w:drawing>
      </w:r>
    </w:p>
    <w:p w:rsidR="000C347E" w:rsidRPr="000C347E" w:rsidRDefault="000C347E" w:rsidP="001C004D">
      <w:pPr>
        <w:jc w:val="both"/>
        <w:rPr>
          <w:rFonts w:asciiTheme="minorHAnsi" w:hAnsiTheme="minorHAnsi"/>
        </w:rPr>
      </w:pPr>
    </w:p>
    <w:p w:rsidR="000C347E" w:rsidRPr="000C347E" w:rsidRDefault="000C347E" w:rsidP="001C004D">
      <w:pPr>
        <w:jc w:val="both"/>
        <w:rPr>
          <w:rFonts w:asciiTheme="minorHAnsi" w:hAnsiTheme="minorHAnsi"/>
        </w:rPr>
      </w:pPr>
    </w:p>
    <w:p w:rsidR="000C347E" w:rsidRPr="000C347E" w:rsidRDefault="000C347E" w:rsidP="001C004D">
      <w:pPr>
        <w:jc w:val="both"/>
        <w:rPr>
          <w:rFonts w:asciiTheme="minorHAnsi" w:hAnsiTheme="minorHAnsi"/>
        </w:rPr>
      </w:pPr>
      <w:bookmarkStart w:id="0" w:name="_GoBack"/>
      <w:bookmarkEnd w:id="0"/>
    </w:p>
    <w:p w:rsidR="000C347E" w:rsidRPr="000C347E" w:rsidRDefault="000C347E" w:rsidP="001C004D">
      <w:pPr>
        <w:jc w:val="both"/>
        <w:rPr>
          <w:rFonts w:asciiTheme="minorHAnsi" w:hAnsiTheme="minorHAnsi"/>
        </w:rPr>
      </w:pPr>
    </w:p>
    <w:p w:rsidR="000C347E" w:rsidRPr="000C347E" w:rsidRDefault="000C347E" w:rsidP="001C004D">
      <w:pPr>
        <w:jc w:val="both"/>
        <w:rPr>
          <w:rFonts w:asciiTheme="minorHAnsi" w:hAnsiTheme="minorHAnsi"/>
        </w:rPr>
      </w:pPr>
    </w:p>
    <w:p w:rsidR="000C347E" w:rsidRPr="000C347E" w:rsidRDefault="000C347E" w:rsidP="001C004D">
      <w:pPr>
        <w:jc w:val="both"/>
        <w:rPr>
          <w:rFonts w:asciiTheme="minorHAnsi" w:hAnsiTheme="minorHAnsi"/>
        </w:rPr>
      </w:pPr>
    </w:p>
    <w:p w:rsidR="000C347E" w:rsidRPr="000C347E" w:rsidRDefault="000C347E" w:rsidP="001C004D">
      <w:pPr>
        <w:jc w:val="both"/>
        <w:rPr>
          <w:rFonts w:asciiTheme="minorHAnsi" w:hAnsiTheme="minorHAnsi"/>
        </w:rPr>
      </w:pPr>
    </w:p>
    <w:p w:rsidR="000C347E" w:rsidRPr="00545F72" w:rsidRDefault="002C2B40" w:rsidP="001C004D">
      <w:pPr>
        <w:jc w:val="both"/>
        <w:rPr>
          <w:rFonts w:asciiTheme="minorHAnsi" w:hAnsiTheme="minorHAnsi"/>
        </w:rPr>
      </w:pPr>
      <w:r>
        <w:rPr>
          <w:rFonts w:asciiTheme="minorHAnsi" w:hAnsiTheme="minorHAnsi"/>
        </w:rPr>
        <w:t xml:space="preserve">                                                                                                                              </w:t>
      </w:r>
      <w:r w:rsidRPr="00545F72">
        <w:rPr>
          <w:rFonts w:asciiTheme="minorHAnsi" w:hAnsiTheme="minorHAnsi"/>
        </w:rPr>
        <w:t>ATA karnesi kullanım bilgileri - 2016</w:t>
      </w:r>
    </w:p>
    <w:p w:rsidR="004713E9" w:rsidRPr="00545F72" w:rsidRDefault="002C2B40" w:rsidP="001C004D">
      <w:pPr>
        <w:jc w:val="both"/>
        <w:rPr>
          <w:rFonts w:asciiTheme="minorHAnsi" w:hAnsiTheme="minorHAnsi"/>
        </w:rPr>
      </w:pPr>
      <w:r w:rsidRPr="00545F72">
        <w:rPr>
          <w:rFonts w:asciiTheme="minorHAnsi" w:hAnsiTheme="minorHAnsi"/>
        </w:rPr>
        <w:t xml:space="preserve">                                                                                                                                        Serdar Moldibi </w:t>
      </w:r>
    </w:p>
    <w:sectPr w:rsidR="004713E9" w:rsidRPr="00545F72" w:rsidSect="004713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E9"/>
    <w:rsid w:val="000C347E"/>
    <w:rsid w:val="001C004D"/>
    <w:rsid w:val="002C2B40"/>
    <w:rsid w:val="004713E9"/>
    <w:rsid w:val="00545F72"/>
    <w:rsid w:val="006B5DEC"/>
    <w:rsid w:val="00794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E9"/>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C347E"/>
    <w:rPr>
      <w:color w:val="0000FF"/>
      <w:u w:val="single"/>
    </w:rPr>
  </w:style>
  <w:style w:type="paragraph" w:styleId="BalonMetni">
    <w:name w:val="Balloon Text"/>
    <w:basedOn w:val="Normal"/>
    <w:link w:val="BalonMetniChar"/>
    <w:uiPriority w:val="99"/>
    <w:semiHidden/>
    <w:unhideWhenUsed/>
    <w:rsid w:val="000C347E"/>
    <w:rPr>
      <w:rFonts w:ascii="Tahoma" w:hAnsi="Tahoma" w:cs="Tahoma"/>
      <w:sz w:val="16"/>
      <w:szCs w:val="16"/>
    </w:rPr>
  </w:style>
  <w:style w:type="character" w:customStyle="1" w:styleId="BalonMetniChar">
    <w:name w:val="Balon Metni Char"/>
    <w:basedOn w:val="VarsaylanParagrafYazTipi"/>
    <w:link w:val="BalonMetni"/>
    <w:uiPriority w:val="99"/>
    <w:semiHidden/>
    <w:rsid w:val="000C347E"/>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E9"/>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C347E"/>
    <w:rPr>
      <w:color w:val="0000FF"/>
      <w:u w:val="single"/>
    </w:rPr>
  </w:style>
  <w:style w:type="paragraph" w:styleId="BalonMetni">
    <w:name w:val="Balloon Text"/>
    <w:basedOn w:val="Normal"/>
    <w:link w:val="BalonMetniChar"/>
    <w:uiPriority w:val="99"/>
    <w:semiHidden/>
    <w:unhideWhenUsed/>
    <w:rsid w:val="000C347E"/>
    <w:rPr>
      <w:rFonts w:ascii="Tahoma" w:hAnsi="Tahoma" w:cs="Tahoma"/>
      <w:sz w:val="16"/>
      <w:szCs w:val="16"/>
    </w:rPr>
  </w:style>
  <w:style w:type="character" w:customStyle="1" w:styleId="BalonMetniChar">
    <w:name w:val="Balon Metni Char"/>
    <w:basedOn w:val="VarsaylanParagrafYazTipi"/>
    <w:link w:val="BalonMetni"/>
    <w:uiPriority w:val="99"/>
    <w:semiHidden/>
    <w:rsid w:val="000C347E"/>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1078">
      <w:bodyDiv w:val="1"/>
      <w:marLeft w:val="0"/>
      <w:marRight w:val="0"/>
      <w:marTop w:val="0"/>
      <w:marBottom w:val="0"/>
      <w:divBdr>
        <w:top w:val="none" w:sz="0" w:space="0" w:color="auto"/>
        <w:left w:val="none" w:sz="0" w:space="0" w:color="auto"/>
        <w:bottom w:val="none" w:sz="0" w:space="0" w:color="auto"/>
        <w:right w:val="none" w:sz="0" w:space="0" w:color="auto"/>
      </w:divBdr>
    </w:div>
    <w:div w:id="631835860">
      <w:bodyDiv w:val="1"/>
      <w:marLeft w:val="0"/>
      <w:marRight w:val="0"/>
      <w:marTop w:val="0"/>
      <w:marBottom w:val="0"/>
      <w:divBdr>
        <w:top w:val="none" w:sz="0" w:space="0" w:color="auto"/>
        <w:left w:val="none" w:sz="0" w:space="0" w:color="auto"/>
        <w:bottom w:val="none" w:sz="0" w:space="0" w:color="auto"/>
        <w:right w:val="none" w:sz="0" w:space="0" w:color="auto"/>
      </w:divBdr>
    </w:div>
    <w:div w:id="1388145227">
      <w:bodyDiv w:val="1"/>
      <w:marLeft w:val="0"/>
      <w:marRight w:val="0"/>
      <w:marTop w:val="0"/>
      <w:marBottom w:val="0"/>
      <w:divBdr>
        <w:top w:val="none" w:sz="0" w:space="0" w:color="auto"/>
        <w:left w:val="none" w:sz="0" w:space="0" w:color="auto"/>
        <w:bottom w:val="none" w:sz="0" w:space="0" w:color="auto"/>
        <w:right w:val="none" w:sz="0" w:space="0" w:color="auto"/>
      </w:divBdr>
    </w:div>
    <w:div w:id="1698891773">
      <w:bodyDiv w:val="1"/>
      <w:marLeft w:val="0"/>
      <w:marRight w:val="0"/>
      <w:marTop w:val="0"/>
      <w:marBottom w:val="0"/>
      <w:divBdr>
        <w:top w:val="none" w:sz="0" w:space="0" w:color="auto"/>
        <w:left w:val="none" w:sz="0" w:space="0" w:color="auto"/>
        <w:bottom w:val="none" w:sz="0" w:space="0" w:color="auto"/>
        <w:right w:val="none" w:sz="0" w:space="0" w:color="auto"/>
      </w:divBdr>
    </w:div>
    <w:div w:id="1741556574">
      <w:bodyDiv w:val="1"/>
      <w:marLeft w:val="0"/>
      <w:marRight w:val="0"/>
      <w:marTop w:val="0"/>
      <w:marBottom w:val="0"/>
      <w:divBdr>
        <w:top w:val="none" w:sz="0" w:space="0" w:color="auto"/>
        <w:left w:val="none" w:sz="0" w:space="0" w:color="auto"/>
        <w:bottom w:val="none" w:sz="0" w:space="0" w:color="auto"/>
        <w:right w:val="none" w:sz="0" w:space="0" w:color="auto"/>
      </w:divBdr>
    </w:div>
    <w:div w:id="20176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FD2F.2C6D35E0"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1.jpg@01D1FD34.EE40198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scib.org/index.asp?documentID=4293" TargetMode="External"/><Relationship Id="rId11" Type="http://schemas.openxmlformats.org/officeDocument/2006/relationships/hyperlink" Target="http://www.uscib.org/index.asp?documentID=4293" TargetMode="External"/><Relationship Id="rId5" Type="http://schemas.openxmlformats.org/officeDocument/2006/relationships/hyperlink" Target="http://merchandisepassport.org/" TargetMode="External"/><Relationship Id="rId15" Type="http://schemas.openxmlformats.org/officeDocument/2006/relationships/fontTable" Target="fontTable.xml"/><Relationship Id="rId10" Type="http://schemas.openxmlformats.org/officeDocument/2006/relationships/image" Target="cid:image006.jpg@01D1FD2F.2C79B90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2.jpg@01D1FD34.FB3C3A1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467</Words>
  <Characters>2667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6</cp:revision>
  <cp:lastPrinted>2016-08-24T07:29:00Z</cp:lastPrinted>
  <dcterms:created xsi:type="dcterms:W3CDTF">2016-08-24T07:26:00Z</dcterms:created>
  <dcterms:modified xsi:type="dcterms:W3CDTF">2016-12-23T07:47:00Z</dcterms:modified>
</cp:coreProperties>
</file>